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85" w:lineRule="atLeast"/>
        <w:ind w:left="0" w:right="0" w:firstLine="0"/>
        <w:jc w:val="center"/>
        <w:rPr>
          <w:rFonts w:ascii="Calibri" w:hAnsi="Calibri" w:cs="Calibri"/>
          <w:i w:val="0"/>
          <w:caps w:val="0"/>
          <w:color w:val="000000"/>
          <w:spacing w:val="0"/>
          <w:sz w:val="21"/>
          <w:szCs w:val="21"/>
        </w:rPr>
      </w:pPr>
      <w:r>
        <w:rPr>
          <w:rFonts w:ascii="微软雅黑" w:hAnsi="微软雅黑" w:eastAsia="微软雅黑" w:cs="微软雅黑"/>
          <w:i w:val="0"/>
          <w:caps w:val="0"/>
          <w:color w:val="000000"/>
          <w:spacing w:val="0"/>
          <w:sz w:val="30"/>
          <w:szCs w:val="30"/>
        </w:rPr>
        <w:t>国家发展改革委关于第三监管周期区域电网输电价格及有关事项的通知</w:t>
      </w:r>
    </w:p>
    <w:p>
      <w:pPr>
        <w:pStyle w:val="2"/>
        <w:keepNext w:val="0"/>
        <w:keepLines w:val="0"/>
        <w:widowControl/>
        <w:suppressLineNumbers w:val="0"/>
        <w:spacing w:before="75" w:beforeAutospacing="0" w:after="75" w:afterAutospacing="0" w:line="420" w:lineRule="atLeast"/>
        <w:ind w:left="0" w:right="0" w:firstLine="0"/>
        <w:jc w:val="center"/>
        <w:rPr>
          <w:rFonts w:hint="default" w:ascii="Calibri" w:hAnsi="Calibri" w:cs="Calibri"/>
          <w:i w:val="0"/>
          <w:caps w:val="0"/>
          <w:color w:val="000000"/>
          <w:spacing w:val="0"/>
          <w:sz w:val="21"/>
          <w:szCs w:val="21"/>
        </w:rPr>
      </w:pPr>
      <w:r>
        <w:rPr>
          <w:rFonts w:ascii="楷体" w:hAnsi="楷体" w:eastAsia="楷体" w:cs="楷体"/>
          <w:i w:val="0"/>
          <w:caps w:val="0"/>
          <w:color w:val="000000"/>
          <w:spacing w:val="0"/>
          <w:sz w:val="24"/>
          <w:szCs w:val="24"/>
        </w:rPr>
        <w:t>发改价格〔2023〕532号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rPr>
          <w:rFonts w:ascii="Arial" w:hAnsi="Arial" w:eastAsia="Arial" w:cs="Arial"/>
          <w:i w:val="0"/>
          <w:caps w:val="0"/>
          <w:color w:val="565862"/>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both"/>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u w:val="none"/>
        </w:rPr>
        <w:t>各省、自治区、直辖市发展改革委，国家电网有限公司、南方电网有限责任公司、内蒙古电力（集团）有限责任公司：</w:t>
      </w:r>
      <w:r>
        <w:rPr>
          <w:rFonts w:hint="default" w:ascii="sans-serif" w:hAnsi="sans-serif" w:eastAsia="sans-serif" w:cs="sans-serif"/>
          <w:i w:val="0"/>
          <w:caps w:val="0"/>
          <w:color w:val="000000"/>
          <w:spacing w:val="0"/>
          <w:sz w:val="24"/>
          <w:szCs w:val="24"/>
          <w:u w:val="none"/>
        </w:rPr>
        <w:br w:type="textWrapping"/>
      </w:r>
      <w:r>
        <w:rPr>
          <w:rFonts w:hint="default" w:ascii="sans-serif" w:hAnsi="sans-serif" w:eastAsia="sans-serif" w:cs="sans-serif"/>
          <w:i w:val="0"/>
          <w:caps w:val="0"/>
          <w:color w:val="000000"/>
          <w:spacing w:val="0"/>
          <w:sz w:val="24"/>
          <w:szCs w:val="24"/>
          <w:u w:val="none"/>
        </w:rPr>
        <w:t>  为进一步深化输配电价改革，强化输配电价监管，更好服务电力市场建设发展，现就华北等五个区域电网输电价格及有关事项通知如下：</w:t>
      </w:r>
      <w:r>
        <w:rPr>
          <w:rFonts w:hint="default" w:ascii="sans-serif" w:hAnsi="sans-serif" w:eastAsia="sans-serif" w:cs="sans-serif"/>
          <w:i w:val="0"/>
          <w:caps w:val="0"/>
          <w:color w:val="000000"/>
          <w:spacing w:val="0"/>
          <w:sz w:val="24"/>
          <w:szCs w:val="24"/>
          <w:u w:val="none"/>
        </w:rPr>
        <w:br w:type="textWrapping"/>
      </w:r>
      <w:r>
        <w:rPr>
          <w:rFonts w:hint="default" w:ascii="sans-serif" w:hAnsi="sans-serif" w:eastAsia="sans-serif" w:cs="sans-serif"/>
          <w:i w:val="0"/>
          <w:caps w:val="0"/>
          <w:color w:val="000000"/>
          <w:spacing w:val="0"/>
          <w:sz w:val="24"/>
          <w:szCs w:val="24"/>
          <w:u w:val="none"/>
        </w:rPr>
        <w:t>  一、按照国家发展改革委《关于印发&lt;区域电网输电价格定价办法&gt;的通知》（发改价格规﹝2020﹞100号）和《关于印发&lt;省级电网输配电价定价办法&gt;的通知》（发改价格规﹝2020﹞101号）及有关规定，核定华北、华东、华中、东北、西北区域电网第三监管周期两部制输电价格，具体见附件。其中，电量电价随区域电网实际交易结算电量收取；容量电价随各省级电网终端销售电量（含市场化交易电量）收取；京津唐电网范围内，位于北京、天津、河北境内的电厂参与京津唐地区交易电量不纳入华北电网电量电费计收范围。</w:t>
      </w:r>
      <w:r>
        <w:rPr>
          <w:rFonts w:hint="default" w:ascii="sans-serif" w:hAnsi="sans-serif" w:eastAsia="sans-serif" w:cs="sans-serif"/>
          <w:i w:val="0"/>
          <w:caps w:val="0"/>
          <w:color w:val="000000"/>
          <w:spacing w:val="0"/>
          <w:sz w:val="24"/>
          <w:szCs w:val="24"/>
          <w:u w:val="none"/>
        </w:rPr>
        <w:br w:type="textWrapping"/>
      </w:r>
      <w:r>
        <w:rPr>
          <w:rFonts w:hint="default" w:ascii="sans-serif" w:hAnsi="sans-serif" w:eastAsia="sans-serif" w:cs="sans-serif"/>
          <w:i w:val="0"/>
          <w:caps w:val="0"/>
          <w:color w:val="000000"/>
          <w:spacing w:val="0"/>
          <w:sz w:val="24"/>
          <w:szCs w:val="24"/>
          <w:u w:val="none"/>
        </w:rPr>
        <w:t>  二、区域电网容量电价作为上级电网分摊费用通过省级电网输配电价回收。</w:t>
      </w:r>
      <w:r>
        <w:rPr>
          <w:rFonts w:hint="default" w:ascii="sans-serif" w:hAnsi="sans-serif" w:eastAsia="sans-serif" w:cs="sans-serif"/>
          <w:i w:val="0"/>
          <w:caps w:val="0"/>
          <w:color w:val="000000"/>
          <w:spacing w:val="0"/>
          <w:sz w:val="24"/>
          <w:szCs w:val="24"/>
          <w:u w:val="none"/>
        </w:rPr>
        <w:br w:type="textWrapping"/>
      </w:r>
      <w:r>
        <w:rPr>
          <w:rFonts w:hint="default" w:ascii="sans-serif" w:hAnsi="sans-serif" w:eastAsia="sans-serif" w:cs="sans-serif"/>
          <w:i w:val="0"/>
          <w:caps w:val="0"/>
          <w:color w:val="000000"/>
          <w:spacing w:val="0"/>
          <w:sz w:val="24"/>
          <w:szCs w:val="24"/>
          <w:u w:val="none"/>
        </w:rPr>
        <w:t>  三、各地发展改革委要加强对区域电网输电价格执行情况的监管，发现问题及时报告我委（价格司）。</w:t>
      </w:r>
      <w:r>
        <w:rPr>
          <w:rFonts w:hint="default" w:ascii="sans-serif" w:hAnsi="sans-serif" w:eastAsia="sans-serif" w:cs="sans-serif"/>
          <w:i w:val="0"/>
          <w:caps w:val="0"/>
          <w:color w:val="000000"/>
          <w:spacing w:val="0"/>
          <w:sz w:val="24"/>
          <w:szCs w:val="24"/>
          <w:u w:val="none"/>
        </w:rPr>
        <w:br w:type="textWrapping"/>
      </w:r>
      <w:r>
        <w:rPr>
          <w:rFonts w:hint="default" w:ascii="sans-serif" w:hAnsi="sans-serif" w:eastAsia="sans-serif" w:cs="sans-serif"/>
          <w:i w:val="0"/>
          <w:caps w:val="0"/>
          <w:color w:val="000000"/>
          <w:spacing w:val="0"/>
          <w:sz w:val="24"/>
          <w:szCs w:val="24"/>
          <w:u w:val="none"/>
        </w:rPr>
        <w:t>  本通知自2023年6月1日起执行，现行政策相关规定与本通知不符的，以本通知规定为准。</w:t>
      </w:r>
      <w:r>
        <w:rPr>
          <w:rFonts w:hint="default" w:ascii="sans-serif" w:hAnsi="sans-serif" w:eastAsia="sans-serif" w:cs="sans-serif"/>
          <w:i w:val="0"/>
          <w:caps w:val="0"/>
          <w:color w:val="000000"/>
          <w:spacing w:val="0"/>
          <w:sz w:val="24"/>
          <w:szCs w:val="24"/>
          <w:u w:val="none"/>
        </w:rPr>
        <w:br w:type="textWrapping"/>
      </w:r>
      <w:r>
        <w:rPr>
          <w:rFonts w:hint="default" w:ascii="sans-serif" w:hAnsi="sans-serif" w:eastAsia="sans-serif" w:cs="sans-serif"/>
          <w:i w:val="0"/>
          <w:caps w:val="0"/>
          <w:color w:val="000000"/>
          <w:spacing w:val="0"/>
          <w:sz w:val="24"/>
          <w:szCs w:val="24"/>
          <w:u w:val="none"/>
        </w:rPr>
        <w:t>  </w:t>
      </w:r>
    </w:p>
    <w:p>
      <w:pPr>
        <w:pStyle w:val="2"/>
        <w:keepNext w:val="0"/>
        <w:keepLines w:val="0"/>
        <w:widowControl/>
        <w:suppressLineNumbers w:val="0"/>
        <w:spacing w:before="75" w:beforeAutospacing="0" w:after="75"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u w:val="none"/>
        </w:rPr>
        <w:t>附件：第三监管周期区域电网输电价格表</w:t>
      </w:r>
    </w:p>
    <w:p>
      <w:pPr>
        <w:pStyle w:val="2"/>
        <w:keepNext w:val="0"/>
        <w:keepLines w:val="0"/>
        <w:widowControl/>
        <w:suppressLineNumbers w:val="0"/>
        <w:spacing w:before="75" w:beforeAutospacing="0" w:after="75" w:afterAutospacing="0" w:line="420" w:lineRule="atLeast"/>
        <w:ind w:right="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u w:val="none"/>
        </w:rPr>
        <w:drawing>
          <wp:inline distT="0" distB="0" distL="114300" distR="114300">
            <wp:extent cx="6781800" cy="8162925"/>
            <wp:effectExtent l="0" t="0" r="0" b="9525"/>
            <wp:docPr id="1" name="图片 1" descr="截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1.png"/>
                    <pic:cNvPicPr>
                      <a:picLocks noChangeAspect="1"/>
                    </pic:cNvPicPr>
                  </pic:nvPicPr>
                  <pic:blipFill>
                    <a:blip r:embed="rId4"/>
                    <a:stretch>
                      <a:fillRect/>
                    </a:stretch>
                  </pic:blipFill>
                  <pic:spPr>
                    <a:xfrm>
                      <a:off x="0" y="0"/>
                      <a:ext cx="6781800" cy="8162925"/>
                    </a:xfrm>
                    <a:prstGeom prst="rect">
                      <a:avLst/>
                    </a:prstGeom>
                    <a:noFill/>
                    <a:ln w="9525">
                      <a:noFill/>
                    </a:ln>
                  </pic:spPr>
                </pic:pic>
              </a:graphicData>
            </a:graphic>
          </wp:inline>
        </w:drawing>
      </w:r>
      <w:bookmarkStart w:id="0" w:name="_GoBack"/>
      <w:bookmarkEnd w:id="0"/>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u w:val="none"/>
        </w:rPr>
        <w:drawing>
          <wp:inline distT="0" distB="0" distL="114300" distR="114300">
            <wp:extent cx="6515100" cy="4191000"/>
            <wp:effectExtent l="0" t="0" r="0" b="0"/>
            <wp:docPr id="2" name="图片 2" descr="截图-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图-2.png"/>
                    <pic:cNvPicPr>
                      <a:picLocks noChangeAspect="1"/>
                    </pic:cNvPicPr>
                  </pic:nvPicPr>
                  <pic:blipFill>
                    <a:blip r:embed="rId5"/>
                    <a:stretch>
                      <a:fillRect/>
                    </a:stretch>
                  </pic:blipFill>
                  <pic:spPr>
                    <a:xfrm>
                      <a:off x="0" y="0"/>
                      <a:ext cx="6515100" cy="4191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right"/>
        <w:rPr>
          <w:rFonts w:hint="default" w:ascii="Arial" w:hAnsi="Arial" w:eastAsia="Arial" w:cs="Arial"/>
          <w:i w:val="0"/>
          <w:caps w:val="0"/>
          <w:color w:val="565862"/>
          <w:spacing w:val="0"/>
          <w:sz w:val="24"/>
          <w:szCs w:val="24"/>
        </w:rPr>
      </w:pPr>
      <w:r>
        <w:rPr>
          <w:rFonts w:hint="default" w:ascii="Arial" w:hAnsi="Arial" w:eastAsia="Arial" w:cs="Arial"/>
          <w:i w:val="0"/>
          <w:caps w:val="0"/>
          <w:color w:val="000000"/>
          <w:spacing w:val="0"/>
          <w:sz w:val="24"/>
          <w:szCs w:val="24"/>
          <w:u w:val="none"/>
          <w:bdr w:val="none" w:color="auto" w:sz="0" w:space="0"/>
        </w:rPr>
        <w:t>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righ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u w:val="none"/>
          <w:bdr w:val="none" w:color="auto" w:sz="0" w:space="0"/>
        </w:rPr>
        <w:t>2023年5月11日</w:t>
      </w:r>
    </w:p>
    <w:p>
      <w:pPr>
        <w:pStyle w:val="2"/>
        <w:keepNext w:val="0"/>
        <w:keepLines w:val="0"/>
        <w:widowControl/>
        <w:suppressLineNumbers w:val="0"/>
        <w:spacing w:before="75" w:beforeAutospacing="0" w:after="75" w:afterAutospacing="0" w:line="30" w:lineRule="atLeast"/>
        <w:ind w:left="0" w:right="0" w:firstLine="42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1F497D"/>
          <w:spacing w:val="0"/>
          <w:sz w:val="24"/>
          <w:szCs w:val="24"/>
          <w:u w:val="single"/>
        </w:rPr>
        <w:fldChar w:fldCharType="begin"/>
      </w:r>
      <w:r>
        <w:rPr>
          <w:rFonts w:hint="default" w:ascii="sans-serif" w:hAnsi="sans-serif" w:eastAsia="sans-serif" w:cs="sans-serif"/>
          <w:i w:val="0"/>
          <w:caps w:val="0"/>
          <w:color w:val="1F497D"/>
          <w:spacing w:val="0"/>
          <w:sz w:val="24"/>
          <w:szCs w:val="24"/>
          <w:u w:val="single"/>
        </w:rPr>
        <w:instrText xml:space="preserve"> HYPERLINK "http://59.207.152.10:8001/upload/files/2023/6/28/1-2.%E5%9B%BD%E5%AE%B6%E5%8F%91%E5%B1%95%E6%94%B9%E9%9D%A9%E5%A7%94%E3%80%8A%E5%85%B3%E4%BA%8E%E7%AC%AC%E4%B8%89%E7%9B%91%E7%AE%A1%E5%91%A8%E6%9C%9F%E5%8C%BA%E5%9F%9F%E7%94%B5%E7%BD%91%E8%BE%93%E7%94%B5%E4%BB%B7%E6%A0%BC%E5%8F%8A%E6%9C%89%E5%85%B3%E4%BA%8B%E9%A1%B9%E7%9A%84%E9%80%9A%E7%9F%A5%E3%80%8B%EF%BC%88%E5%8F%91%E6%94%B9%E4%BB%B7%E6%A0%BC%E3%80%942023%E3%80%95532%E5%8F%B7%EF%BC%89.pdf" \o "1-2.国家发展改革委《关于第三监管周期区域电网输电价格及有关事项的通知》（发改价格〔2023〕532号）.pdf" </w:instrText>
      </w:r>
      <w:r>
        <w:rPr>
          <w:rFonts w:hint="default" w:ascii="sans-serif" w:hAnsi="sans-serif" w:eastAsia="sans-serif" w:cs="sans-serif"/>
          <w:i w:val="0"/>
          <w:caps w:val="0"/>
          <w:color w:val="1F497D"/>
          <w:spacing w:val="0"/>
          <w:sz w:val="24"/>
          <w:szCs w:val="24"/>
          <w:u w:val="single"/>
        </w:rPr>
        <w:fldChar w:fldCharType="separate"/>
      </w:r>
      <w:r>
        <w:rPr>
          <w:rStyle w:val="4"/>
          <w:rFonts w:hint="default" w:ascii="sans-serif" w:hAnsi="sans-serif" w:eastAsia="sans-serif" w:cs="sans-serif"/>
          <w:i w:val="0"/>
          <w:caps w:val="0"/>
          <w:color w:val="1F497D"/>
          <w:spacing w:val="0"/>
          <w:sz w:val="24"/>
          <w:szCs w:val="24"/>
          <w:u w:val="single"/>
        </w:rPr>
        <w:t>国家发展改革委《关于第三监管周期区域电网输电价格及有关事项的通知》（发改价格〔2023〕532号）.pdf</w:t>
      </w:r>
      <w:r>
        <w:rPr>
          <w:rFonts w:hint="default" w:ascii="sans-serif" w:hAnsi="sans-serif" w:eastAsia="sans-serif" w:cs="sans-serif"/>
          <w:i w:val="0"/>
          <w:caps w:val="0"/>
          <w:color w:val="1F497D"/>
          <w:spacing w:val="0"/>
          <w:sz w:val="24"/>
          <w:szCs w:val="24"/>
          <w:u w:val="single"/>
        </w:rPr>
        <w:fldChar w:fldCharType="end"/>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4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2025-11-04T08:35:05Z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